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6350" distL="114935" distR="114935" simplePos="0" locked="0" layoutInCell="1"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79" t="-80" r="-79" b="-80"/>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left="0"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left="0"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left="0" w:right="-30" w:hanging="0"/>
        <w:jc w:val="center"/>
        <w:rPr/>
      </w:pPr>
      <w:r>
        <w:rPr>
          <w:rFonts w:cs="Times New Roman" w:ascii="Times New Roman" w:hAnsi="Times New Roman"/>
          <w:b/>
          <w:sz w:val="22"/>
          <w:szCs w:val="22"/>
          <w:lang w:eastAsia="en-US"/>
        </w:rPr>
        <w:t>4º BATALHÃO DE AVIAÇÃO DO EXÉRCITO</w:t>
      </w:r>
    </w:p>
    <w:p>
      <w:pPr>
        <w:pStyle w:val="Normal"/>
        <w:ind w:left="0" w:right="-30" w:hanging="0"/>
        <w:jc w:val="center"/>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spacing w:lineRule="auto" w:line="276"/>
        <w:jc w:val="center"/>
        <w:rPr/>
      </w:pPr>
      <w:r>
        <w:rPr>
          <w:rFonts w:cs="Arial"/>
          <w:b/>
          <w:bCs/>
          <w:color w:val="000000"/>
          <w:szCs w:val="20"/>
        </w:rPr>
        <w:t>AVISO DE DISPENSA ELETRÔNICA Nº 72/2022</w:t>
      </w:r>
    </w:p>
    <w:p>
      <w:pPr>
        <w:pStyle w:val="Normal"/>
        <w:spacing w:lineRule="auto" w:line="276" w:before="0" w:after="120"/>
        <w:ind w:left="0" w:right="-15" w:hanging="0"/>
        <w:jc w:val="center"/>
        <w:rPr/>
      </w:pPr>
      <w:r>
        <w:rPr>
          <w:rFonts w:cs="Arial"/>
          <w:b/>
          <w:bCs/>
          <w:color w:val="000000"/>
          <w:szCs w:val="20"/>
        </w:rPr>
        <w:t xml:space="preserve">(Processo Administrativo n° </w:t>
      </w:r>
      <w:r>
        <w:rPr>
          <w:b/>
          <w:w w:val="105"/>
          <w:position w:val="1"/>
        </w:rPr>
        <w:t>64020.002839/2022-41</w:t>
      </w:r>
      <w:r>
        <w:rPr>
          <w:rFonts w:cs="Arial"/>
          <w:b/>
          <w:bCs/>
          <w:color w:val="000000"/>
          <w:szCs w:val="20"/>
        </w:rPr>
        <w:t>)</w:t>
      </w:r>
    </w:p>
    <w:p>
      <w:pPr>
        <w:pStyle w:val="Normal"/>
        <w:rPr>
          <w:rFonts w:cs="Arial"/>
        </w:rPr>
      </w:pPr>
      <w:r>
        <w:rPr>
          <w:rFonts w:cs="Arial"/>
        </w:rPr>
      </w:r>
    </w:p>
    <w:p>
      <w:pPr>
        <w:pStyle w:val="Normal"/>
        <w:snapToGrid w:val="false"/>
        <w:spacing w:lineRule="auto" w:line="276" w:before="0" w:after="120"/>
        <w:ind w:left="0" w:right="-30" w:firstLine="540"/>
        <w:jc w:val="both"/>
        <w:rPr/>
      </w:pPr>
      <w:r>
        <w:rPr>
          <w:rFonts w:cs="Arial"/>
          <w:color w:val="000000"/>
          <w:szCs w:val="20"/>
        </w:rPr>
        <w:t xml:space="preserve">Torna-se público que o (a) </w:t>
      </w:r>
      <w:r>
        <w:rPr>
          <w:rFonts w:eastAsia="Arial" w:cs="Arial"/>
          <w:color w:val="000000"/>
          <w:szCs w:val="20"/>
        </w:rPr>
        <w:t>4° BATALHÃO DE AVIAÇÃO DO EXÉRCITO - 4° BAvEx</w:t>
      </w:r>
      <w:r>
        <w:rPr>
          <w:rFonts w:cs="Arial"/>
          <w:color w:val="000000"/>
          <w:szCs w:val="20"/>
        </w:rPr>
        <w:t xml:space="preserve">, por meio do(a) </w:t>
      </w:r>
      <w:r>
        <w:rPr>
          <w:rFonts w:eastAsia="Arial" w:cs="Arial"/>
          <w:color w:val="000000"/>
          <w:szCs w:val="20"/>
        </w:rPr>
        <w:t>Seção de Aquisições, Licitações e Contratos</w:t>
      </w:r>
      <w:r>
        <w:rPr>
          <w:rFonts w:cs="Arial"/>
          <w:color w:val="000000"/>
          <w:szCs w:val="20"/>
        </w:rPr>
        <w:t xml:space="preserve">, realizará Dispensa Eletrônica, </w:t>
      </w:r>
      <w:r>
        <w:rPr>
          <w:rFonts w:cs="Arial"/>
          <w:bCs/>
          <w:color w:val="000000"/>
          <w:szCs w:val="20"/>
        </w:rPr>
        <w:t xml:space="preserve">com critério de julgamento </w:t>
      </w:r>
      <w:r>
        <w:rPr>
          <w:rFonts w:cs="Arial"/>
          <w:b/>
          <w:color w:val="000000"/>
          <w:szCs w:val="20"/>
        </w:rPr>
        <w:t>menor preço</w:t>
      </w:r>
      <w:r>
        <w:rPr>
          <w:rFonts w:cs="Arial"/>
          <w:b/>
          <w:bCs/>
          <w:color w:val="000000"/>
          <w:szCs w:val="20"/>
        </w:rPr>
        <w:t xml:space="preserve">, </w:t>
      </w:r>
      <w:r>
        <w:rPr>
          <w:rFonts w:cs="Arial"/>
          <w:color w:val="000000"/>
          <w:szCs w:val="20"/>
        </w:rPr>
        <w:t>na hipótese do art. 75</w:t>
      </w:r>
      <w:r>
        <w:rPr>
          <w:rFonts w:cs="Arial"/>
          <w:i/>
          <w:iCs/>
          <w:color w:val="000000"/>
          <w:szCs w:val="20"/>
        </w:rPr>
        <w:t xml:space="preserve">, </w:t>
      </w:r>
      <w:r>
        <w:rPr>
          <w:rFonts w:cs="Arial"/>
          <w:b/>
          <w:iCs/>
          <w:color w:val="000000"/>
          <w:szCs w:val="20"/>
        </w:rPr>
        <w:t>inciso  II</w:t>
      </w:r>
      <w:r>
        <w:rPr>
          <w:rFonts w:cs="Arial"/>
          <w:i/>
          <w:iCs/>
          <w:color w:val="00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szCs w:val="20"/>
        </w:rPr>
        <w:t>Data da sessão: 2</w:t>
      </w:r>
      <w:r>
        <w:rPr>
          <w:rFonts w:cs="Arial"/>
          <w:color w:val="000000"/>
          <w:szCs w:val="20"/>
        </w:rPr>
        <w:t>9</w:t>
      </w:r>
      <w:r>
        <w:rPr>
          <w:rFonts w:cs="Arial"/>
          <w:color w:val="000000"/>
          <w:szCs w:val="20"/>
        </w:rPr>
        <w:t>/06/2022</w:t>
      </w:r>
    </w:p>
    <w:p>
      <w:pPr>
        <w:pStyle w:val="Normal"/>
        <w:rPr>
          <w:rFonts w:cs="Arial"/>
          <w:color w:val="000000"/>
          <w:szCs w:val="20"/>
        </w:rPr>
      </w:pPr>
      <w:r>
        <w:rPr>
          <w:rFonts w:cs="Arial"/>
          <w:color w:val="000000"/>
          <w:szCs w:val="20"/>
        </w:rPr>
        <w:t>Link: www.comprasgovernamentais.gov.br</w:t>
      </w:r>
    </w:p>
    <w:p>
      <w:pPr>
        <w:pStyle w:val="Normal"/>
        <w:rPr>
          <w:rFonts w:cs="Arial"/>
          <w:color w:val="000000"/>
          <w:szCs w:val="20"/>
        </w:rPr>
      </w:pPr>
      <w:r>
        <w:rPr>
          <w:rFonts w:cs="Arial"/>
          <w:color w:val="000000"/>
          <w:szCs w:val="20"/>
        </w:rPr>
        <w:t>Horário da Fase de Lances: 8:00 (horário de Brasília)</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OBJETO DA CONTRATAÇÃO DIRETA</w:t>
      </w:r>
    </w:p>
    <w:p>
      <w:pPr>
        <w:pStyle w:val="PADRO"/>
        <w:keepNext w:val="false"/>
        <w:widowControl/>
        <w:numPr>
          <w:ilvl w:val="1"/>
          <w:numId w:val="1"/>
        </w:numPr>
        <w:shd w:val="clear" w:fill="FFFFFF"/>
        <w:spacing w:before="120" w:after="120"/>
        <w:rPr/>
      </w:pPr>
      <w:r>
        <w:rPr>
          <w:rFonts w:cs="Arial" w:ascii="Arial" w:hAnsi="Arial"/>
          <w:iCs/>
          <w:color w:val="000000"/>
          <w:szCs w:val="20"/>
        </w:rPr>
        <w:t>A contratação ocorrerá em item único</w:t>
      </w:r>
      <w:r>
        <w:rPr>
          <w:rFonts w:cs="Arial" w:ascii="Arial" w:hAnsi="Arial"/>
          <w:b/>
          <w:bCs/>
          <w:iCs/>
          <w:color w:val="000000"/>
          <w:szCs w:val="20"/>
        </w:rPr>
        <w:t>,</w:t>
      </w:r>
      <w:r>
        <w:rPr>
          <w:rFonts w:cs="Arial" w:ascii="Arial" w:hAnsi="Arial"/>
          <w:iCs/>
          <w:color w:val="000000"/>
          <w:szCs w:val="20"/>
        </w:rPr>
        <w:t xml:space="preserve"> conforme tabela constante abaixo</w:t>
      </w:r>
      <w:r>
        <w:rPr>
          <w:rFonts w:cs="Arial" w:ascii="Arial" w:hAnsi="Arial"/>
          <w:i/>
          <w:iCs/>
          <w:color w:val="FF0000"/>
          <w:szCs w:val="20"/>
        </w:rPr>
        <w:t>.</w:t>
      </w:r>
    </w:p>
    <w:tbl>
      <w:tblPr>
        <w:tblW w:w="10155" w:type="dxa"/>
        <w:jc w:val="left"/>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675"/>
        <w:gridCol w:w="4935"/>
        <w:gridCol w:w="1083"/>
        <w:gridCol w:w="565"/>
        <w:gridCol w:w="1540"/>
        <w:gridCol w:w="1356"/>
      </w:tblGrid>
      <w:tr>
        <w:trPr>
          <w:trHeight w:val="1064" w:hRule="atLeast"/>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Item</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Descrição detalhada</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Unidade</w:t>
            </w:r>
          </w:p>
        </w:tc>
        <w:tc>
          <w:tcPr>
            <w:tcW w:w="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Qtd</w:t>
            </w:r>
          </w:p>
        </w:tc>
        <w:tc>
          <w:tcPr>
            <w:tcW w:w="15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Preço unitário de referência</w:t>
            </w:r>
          </w:p>
        </w:tc>
        <w:tc>
          <w:tcPr>
            <w:tcW w:w="13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tcMar>
              <w:left w:w="-5" w:type="dxa"/>
              <w:right w:w="10" w:type="dxa"/>
            </w:tcM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Preço total</w:t>
            </w:r>
          </w:p>
          <w:p>
            <w:pPr>
              <w:pStyle w:val="Standard"/>
              <w:spacing w:lineRule="auto" w:line="240" w:before="0" w:after="0"/>
              <w:jc w:val="center"/>
              <w:rPr>
                <w:rFonts w:ascii="Times New Roman" w:hAnsi="Times New Roman" w:cs="Times New Roman"/>
                <w:b/>
                <w:b/>
              </w:rPr>
            </w:pPr>
            <w:r>
              <w:rPr>
                <w:rFonts w:cs="Times New Roman" w:ascii="Times New Roman" w:hAnsi="Times New Roman"/>
                <w:b/>
                <w:sz w:val="20"/>
                <w:szCs w:val="20"/>
              </w:rPr>
              <w:t xml:space="preserve">de referência </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01</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pPr>
            <w:r>
              <w:rPr>
                <w:rFonts w:cs="Times New Roman" w:ascii="Times New Roman" w:hAnsi="Times New Roman"/>
                <w:color w:val="000000"/>
                <w:sz w:val="20"/>
                <w:szCs w:val="20"/>
              </w:rPr>
              <w:t>Pedestal organizador de fila na cor prata cromado com fita retrátil preta. Material aço Inox com fita retrátil de 2 metros de comprimento e 5cm de largura. Material: aço inoxidável. Quantidade: 01 pedestal + fita retrátil. Altura: 91 cm. Diâmetro da base: 32cm. Fita: retrátil de 2cm de comprimento e 5cm de largura. Cor da fita: preta. Peso: 7,5kg.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color w:val="000000"/>
              </w:rPr>
            </w:pPr>
            <w:r>
              <w:rPr>
                <w:rFonts w:cs="Times New Roman" w:ascii="Times New Roman" w:hAnsi="Times New Roman"/>
                <w:color w:val="000000"/>
              </w:rPr>
              <w:t>UND</w:t>
            </w:r>
          </w:p>
        </w:tc>
        <w:tc>
          <w:tcPr>
            <w:tcW w:w="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rFonts w:cs="Times New Roman" w:ascii="Times New Roman" w:hAnsi="Times New Roman"/>
                <w:color w:val="000000"/>
              </w:rPr>
              <w:t>40</w:t>
            </w:r>
          </w:p>
        </w:tc>
        <w:tc>
          <w:tcPr>
            <w:tcW w:w="15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pPr>
            <w:r>
              <w:rPr>
                <w:rFonts w:ascii="Times New Roman" w:hAnsi="Times New Roman"/>
                <w:sz w:val="20"/>
                <w:szCs w:val="20"/>
              </w:rPr>
              <w:t>R</w:t>
            </w:r>
            <w:r>
              <w:rPr>
                <w:rFonts w:ascii="Times New Roman" w:hAnsi="Times New Roman"/>
                <w:sz w:val="20"/>
                <w:szCs w:val="20"/>
              </w:rPr>
              <w:t>$ 234,98</w:t>
            </w:r>
          </w:p>
        </w:tc>
        <w:tc>
          <w:tcPr>
            <w:tcW w:w="13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pPr>
            <w:r>
              <w:rPr>
                <w:rFonts w:ascii="Times New Roman" w:hAnsi="Times New Roman"/>
                <w:sz w:val="20"/>
                <w:szCs w:val="20"/>
              </w:rPr>
              <w:t xml:space="preserve">R$ </w:t>
            </w:r>
            <w:r>
              <w:rPr>
                <w:rFonts w:ascii="Times New Roman" w:hAnsi="Times New Roman"/>
                <w:sz w:val="20"/>
                <w:szCs w:val="20"/>
              </w:rPr>
              <w:t>9</w:t>
            </w:r>
            <w:r>
              <w:rPr>
                <w:rFonts w:ascii="Times New Roman" w:hAnsi="Times New Roman"/>
                <w:sz w:val="20"/>
                <w:szCs w:val="20"/>
              </w:rPr>
              <w:t>.</w:t>
            </w:r>
            <w:r>
              <w:rPr>
                <w:rFonts w:ascii="Times New Roman" w:hAnsi="Times New Roman"/>
                <w:sz w:val="20"/>
                <w:szCs w:val="20"/>
              </w:rPr>
              <w:t>399</w:t>
            </w:r>
            <w:r>
              <w:rPr>
                <w:rFonts w:ascii="Times New Roman" w:hAnsi="Times New Roman"/>
                <w:sz w:val="20"/>
                <w:szCs w:val="20"/>
              </w:rPr>
              <w:t>,</w:t>
            </w:r>
            <w:r>
              <w:rPr>
                <w:rFonts w:ascii="Times New Roman" w:hAnsi="Times New Roman"/>
                <w:sz w:val="20"/>
                <w:szCs w:val="20"/>
              </w:rPr>
              <w:t>2</w:t>
            </w:r>
            <w:r>
              <w:rPr>
                <w:rFonts w:ascii="Times New Roman" w:hAnsi="Times New Roman"/>
                <w:sz w:val="20"/>
                <w:szCs w:val="20"/>
              </w:rPr>
              <w:t>0</w:t>
            </w:r>
          </w:p>
        </w:tc>
      </w:tr>
    </w:tbl>
    <w:p>
      <w:pPr>
        <w:pStyle w:val="PADRO"/>
        <w:keepNext w:val="false"/>
        <w:widowControl/>
        <w:numPr>
          <w:ilvl w:val="1"/>
          <w:numId w:val="1"/>
        </w:numPr>
        <w:shd w:val="clear" w:fill="FFFFFF"/>
        <w:spacing w:before="120" w:after="120"/>
        <w:rPr/>
      </w:pPr>
      <w:r>
        <w:rPr>
          <w:rFonts w:cs="Arial" w:ascii="Arial" w:hAnsi="Arial"/>
          <w:szCs w:val="20"/>
        </w:rPr>
        <w:t xml:space="preserve">O critério de julgamento adotado será o </w:t>
      </w:r>
      <w:r>
        <w:rPr>
          <w:rFonts w:cs="Arial" w:ascii="Arial" w:hAnsi="Arial"/>
          <w:iCs/>
          <w:color w:val="000000"/>
          <w:szCs w:val="20"/>
        </w:rPr>
        <w:t xml:space="preserve">menor preço, </w:t>
      </w:r>
      <w:r>
        <w:rPr>
          <w:rFonts w:cs="Arial" w:ascii="Arial" w:hAnsi="Arial"/>
          <w:szCs w:val="20"/>
        </w:rPr>
        <w:t>observadas as exigências contidas neste Aviso de Contratação Direta e seus Anexos quanto às especificações do objeto.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PARTICIPAÇÃO NA DISPENSA ELETRÔNICA.</w:t>
      </w:r>
    </w:p>
    <w:p>
      <w:pPr>
        <w:pStyle w:val="Normal"/>
        <w:snapToGrid w:val="false"/>
        <w:spacing w:lineRule="auto" w:line="276" w:before="120" w:after="120"/>
        <w:ind w:left="425" w:right="0" w:hanging="0"/>
        <w:jc w:val="both"/>
        <w:rPr/>
      </w:pPr>
      <w:r>
        <w:rPr>
          <w:rFonts w:cs="Arial"/>
          <w:szCs w:val="20"/>
        </w:rPr>
        <w:t xml:space="preserve">2.1. 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 xml:space="preserve">endereço eletrônico do </w:t>
      </w:r>
      <w:r>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poderão participar desta dispensa os fornecedores: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se enquadrem nas seguintes vedações:</w:t>
      </w:r>
    </w:p>
    <w:p>
      <w:pPr>
        <w:pStyle w:val="Normal"/>
        <w:numPr>
          <w:ilvl w:val="3"/>
          <w:numId w:val="3"/>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sociedades cooperativas</w:t>
      </w:r>
      <w:r>
        <w:rPr>
          <w:rFonts w:cs="Arial"/>
          <w:i/>
          <w:color w:val="000000"/>
          <w:szCs w:val="20"/>
        </w:rPr>
        <w:t>.</w:t>
      </w:r>
      <w:bookmarkStart w:id="0" w:name="_Hlk519667815"/>
      <w:bookmarkEnd w:id="0"/>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right="0" w:hanging="0"/>
        <w:jc w:val="both"/>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right="0"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right="0"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right="0"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right="0" w:hanging="0"/>
        <w:jc w:val="both"/>
        <w:rPr/>
      </w:pPr>
      <w:r>
        <w:rPr>
          <w:rFonts w:cs="Arial"/>
          <w:szCs w:val="20"/>
        </w:rPr>
        <w:t xml:space="preserve">A apresentação das propostas implica obrigatoriedade do cumprimento das disposições nelas contidas, em conformidade com o que dispõe o </w:t>
      </w:r>
      <w:r>
        <w:rPr>
          <w:rFonts w:cs="Arial"/>
          <w:b/>
          <w:color w:val="000000"/>
          <w:szCs w:val="20"/>
        </w:rPr>
        <w:t>Termo de Referência</w:t>
      </w:r>
      <w:r>
        <w:rPr>
          <w:rFonts w:cs="Arial"/>
          <w:i/>
          <w:color w:val="000000"/>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right="0" w:hanging="0"/>
        <w:jc w:val="both"/>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right="0" w:hanging="0"/>
        <w:jc w:val="both"/>
        <w:rPr/>
      </w:pPr>
      <w:r>
        <w:rPr>
          <w:rFonts w:cs="Arial"/>
          <w:color w:val="000000"/>
          <w:szCs w:val="20"/>
        </w:rPr>
        <w:t xml:space="preserve">No cadastramento da proposta inicial, o fornecedor deverá, também,assinalar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pPr>
      <w:r>
        <w:rPr>
          <w:rFonts w:cs="Arial"/>
          <w:color w:val="000000"/>
          <w:szCs w:val="20"/>
        </w:rPr>
        <w:t>que cumpre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szCs w:val="20"/>
        </w:rPr>
      </w:pPr>
      <w:r>
        <w:rPr>
          <w:rFonts w:cs="Arial"/>
          <w:color w:val="00000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pPr>
      <w:r>
        <w:rPr>
          <w:rFonts w:cs="Arial"/>
          <w:color w:val="000000"/>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iCs/>
          <w:color w:val="000000"/>
          <w:szCs w:val="20"/>
        </w:rPr>
      </w:pPr>
      <w:r>
        <w:rPr>
          <w:rFonts w:cs="Arial"/>
          <w:iCs/>
          <w:color w:val="000000"/>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szCs w:val="20"/>
        </w:rPr>
      </w:pPr>
      <w:r>
        <w:rPr>
          <w:rFonts w:cs="Arial"/>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szCs w:val="20"/>
        </w:rPr>
        <w:t xml:space="preserve">O prazo de validade </w:t>
      </w:r>
      <w:r>
        <w:rPr>
          <w:rFonts w:cs="Arial"/>
          <w:szCs w:val="20"/>
        </w:rPr>
        <w:t>da</w:t>
      </w:r>
      <w:r>
        <w:rPr>
          <w:rFonts w:cs="Arial"/>
          <w:color w:val="000000"/>
          <w:szCs w:val="20"/>
        </w:rPr>
        <w:t xml:space="preserve"> proposta não será inferior a 60 (sessenta) dias</w:t>
      </w:r>
      <w:r>
        <w:rPr>
          <w:rFonts w:cs="Arial"/>
          <w:b/>
          <w:bCs/>
          <w:color w:val="000000"/>
          <w:szCs w:val="20"/>
        </w:rPr>
        <w:t>,</w:t>
      </w:r>
      <w:r>
        <w:rPr>
          <w:rFonts w:cs="Arial"/>
          <w:color w:val="000000"/>
          <w:szCs w:val="20"/>
        </w:rPr>
        <w:t xml:space="preserve"> a contar da data de sua apresentação.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pPr>
      <w:r>
        <w:rPr>
          <w:rFonts w:cs="Arial"/>
          <w:color w:val="000000"/>
          <w:szCs w:val="20"/>
        </w:rPr>
        <w:t>não tiverem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pPr>
      <w:r>
        <w:rPr>
          <w:rFonts w:cs="Arial"/>
          <w:color w:val="000000"/>
          <w:szCs w:val="20"/>
          <w:lang w:eastAsia="en-US"/>
        </w:rPr>
        <w:t xml:space="preserve">Erros no preenchimento da planilha não constituem motivo para a desclassificação da proposta. A planilha </w:t>
      </w:r>
      <w:r>
        <w:rPr>
          <w:rFonts w:cs="Arial"/>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right="0" w:hanging="574"/>
        <w:contextualSpacing/>
        <w:jc w:val="both"/>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right="0" w:hanging="574"/>
        <w:contextualSpacing/>
        <w:jc w:val="both"/>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right="0"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right="0"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right="0"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right="0"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pPr>
      <w:r>
        <w:rPr>
          <w:rFonts w:cs="Arial"/>
          <w:szCs w:val="20"/>
          <w:lang w:eastAsia="ar-SA"/>
        </w:rPr>
        <w:t xml:space="preserve">Para a consulta de </w:t>
      </w:r>
      <w:r>
        <w:rPr>
          <w:rFonts w:cs="Arial"/>
          <w:color w:val="000000"/>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pPr>
      <w:r>
        <w:rPr>
          <w:rFonts w:cs="Arial"/>
          <w:color w:val="000000"/>
          <w:szCs w:val="20"/>
        </w:rPr>
        <w:t xml:space="preserve">A consulta aos </w:t>
      </w:r>
      <w:r>
        <w:rPr>
          <w:rFonts w:cs="Arial"/>
          <w:szCs w:val="20"/>
          <w:lang w:eastAsia="ar-SA"/>
        </w:rPr>
        <w:t>cadastros</w:t>
      </w:r>
      <w:r>
        <w:rPr>
          <w:rFonts w:cs="Arial"/>
          <w:color w:val="00000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right="0" w:hanging="574"/>
        <w:contextualSpacing/>
        <w:jc w:val="both"/>
        <w:rPr/>
      </w:pPr>
      <w:r>
        <w:rPr>
          <w:rFonts w:cs="Arial"/>
          <w:color w:val="000000"/>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right="0" w:hanging="574"/>
        <w:contextualSpacing/>
        <w:jc w:val="both"/>
        <w:rPr>
          <w:rFonts w:cs="Arial"/>
          <w:color w:val="000000"/>
          <w:szCs w:val="20"/>
        </w:rPr>
      </w:pPr>
      <w:r>
        <w:rPr>
          <w:rFonts w:cs="Arial"/>
          <w:color w:val="00000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right="0" w:hanging="574"/>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right="0" w:hanging="574"/>
        <w:contextualSpacing/>
        <w:jc w:val="both"/>
        <w:rPr>
          <w:rFonts w:cs="Arial"/>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right="0" w:hanging="574"/>
        <w:contextualSpacing/>
        <w:jc w:val="both"/>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right="0" w:hanging="574"/>
        <w:contextualSpacing/>
        <w:jc w:val="both"/>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right="0"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right="0" w:hanging="0"/>
        <w:jc w:val="both"/>
        <w:rPr>
          <w:rFonts w:cs="Arial"/>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right="0" w:hanging="0"/>
        <w:jc w:val="both"/>
        <w:rPr>
          <w:rFonts w:cs="Arial"/>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4"/>
        </w:numPr>
        <w:spacing w:lineRule="auto" w:line="276" w:before="120" w:after="120"/>
        <w:jc w:val="both"/>
        <w:rPr/>
      </w:pPr>
      <w:r>
        <w:rPr>
          <w:rFonts w:cs="Arial"/>
        </w:rPr>
        <w:t xml:space="preserve">Multa de </w:t>
      </w:r>
      <w:r>
        <w:rPr>
          <w:rFonts w:cs="Arial"/>
          <w:color w:val="000000"/>
        </w:rPr>
        <w:t>20% (vinte por cento) so</w:t>
      </w:r>
      <w:r>
        <w:rPr>
          <w:rFonts w:cs="Arial"/>
        </w:rPr>
        <w:t>bre o valor estimado do(s) item(s) prejudicado(s) pela conduta do fornecedor, por qualquer das infrações dos subitens 8.1.1 a 8.1.12;</w:t>
      </w:r>
    </w:p>
    <w:p>
      <w:pPr>
        <w:pStyle w:val="Normal"/>
        <w:numPr>
          <w:ilvl w:val="2"/>
          <w:numId w:val="4"/>
        </w:numPr>
        <w:spacing w:lineRule="auto" w:line="276" w:before="120" w:after="120"/>
        <w:jc w:val="both"/>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right="0" w:hanging="0"/>
        <w:jc w:val="both"/>
        <w:rPr>
          <w:rFonts w:cs="Arial"/>
        </w:rPr>
      </w:pPr>
      <w:bookmarkStart w:id="1" w:name="art156%252525252525252525252525252525252"/>
      <w:bookmarkStart w:id="2" w:name="art156%252525252525252525252525252525252"/>
      <w:bookmarkStart w:id="3" w:name="art156%252525252525252525252525252525252"/>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right="0" w:hanging="0"/>
        <w:jc w:val="both"/>
        <w:rPr>
          <w:rFonts w:cs="Arial"/>
        </w:rPr>
      </w:pPr>
      <w:bookmarkStart w:id="4" w:name="art156%252525252525252525252525252525252"/>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right="0"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right="0"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right="0"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right="0"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right="0"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right="0" w:hanging="0"/>
        <w:jc w:val="both"/>
        <w:rPr/>
      </w:pPr>
      <w:r>
        <w:rPr>
          <w:rFonts w:cs="Arial"/>
        </w:rPr>
        <w:t>As sanções por atos praticados no decorrer da contratação estão previstas nos anexos a este Aviso.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right="0" w:hanging="0"/>
        <w:jc w:val="both"/>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pPr>
      <w:r>
        <w:rPr>
          <w:rFonts w:cs="Arial"/>
          <w:color w:val="000000"/>
          <w:szCs w:val="20"/>
        </w:rPr>
        <w:t>ANEXO I – Documentação exigida para Habilitação</w:t>
      </w:r>
    </w:p>
    <w:p>
      <w:pPr>
        <w:pStyle w:val="Normal"/>
        <w:numPr>
          <w:ilvl w:val="2"/>
          <w:numId w:val="1"/>
        </w:numPr>
        <w:spacing w:lineRule="auto" w:line="276" w:before="120" w:after="120"/>
        <w:jc w:val="both"/>
        <w:rPr/>
      </w:pPr>
      <w:r>
        <w:rPr>
          <w:rFonts w:cs="Arial"/>
          <w:color w:val="000000"/>
          <w:szCs w:val="20"/>
        </w:rPr>
        <w:t>ANEXO II – Imagem do material de referência;</w:t>
      </w:r>
    </w:p>
    <w:p>
      <w:pPr>
        <w:pStyle w:val="Normal"/>
        <w:numPr>
          <w:ilvl w:val="2"/>
          <w:numId w:val="1"/>
        </w:numPr>
        <w:spacing w:lineRule="auto" w:line="276" w:before="120" w:after="120"/>
        <w:jc w:val="both"/>
        <w:rPr/>
      </w:pPr>
      <w:r>
        <w:rPr>
          <w:rFonts w:cs="Arial"/>
          <w:color w:val="000000"/>
          <w:szCs w:val="20"/>
        </w:rPr>
        <w:t>ANEXO III - Termo de Referência;</w:t>
      </w:r>
    </w:p>
    <w:p>
      <w:pPr>
        <w:pStyle w:val="Normal"/>
        <w:spacing w:lineRule="auto" w:line="276" w:before="120" w:after="120"/>
        <w:ind w:left="1224" w:right="0"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t>Manaus-AM, _____, de _________________ de 2022</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ANDRÉ LUIZ GRENTESKI – Cel</w:t>
      </w:r>
    </w:p>
    <w:p>
      <w:pPr>
        <w:pStyle w:val="Normal"/>
        <w:spacing w:before="43" w:after="0"/>
        <w:ind w:left="357" w:right="-7" w:firstLine="567"/>
        <w:jc w:val="center"/>
        <w:rPr/>
      </w:pPr>
      <w:r>
        <w:rPr>
          <w:rFonts w:cs="Times New Roman" w:ascii="Times New Roman" w:hAnsi="Times New Roman"/>
          <w:sz w:val="22"/>
          <w:szCs w:val="22"/>
          <w:lang w:eastAsia="en-US"/>
        </w:rPr>
        <w:t>Ordenador de Despesas</w:t>
      </w:r>
      <w:r>
        <w:rPr>
          <w:rFonts w:cs="Times New Roman" w:ascii="Times New Roman" w:hAnsi="Times New Roman"/>
          <w:spacing w:val="27"/>
          <w:sz w:val="22"/>
          <w:szCs w:val="22"/>
          <w:lang w:eastAsia="en-US"/>
        </w:rPr>
        <w:t xml:space="preserve"> do</w:t>
      </w:r>
      <w:r>
        <w:rPr>
          <w:rFonts w:cs="Times New Roman" w:ascii="Times New Roman" w:hAnsi="Times New Roman"/>
          <w:sz w:val="22"/>
          <w:szCs w:val="22"/>
          <w:lang w:eastAsia="en-US"/>
        </w:rPr>
        <w:t xml:space="preserve"> 4° BAvEx</w:t>
      </w:r>
    </w:p>
    <w:sectPr>
      <w:footerReference w:type="default" r:id="rId6"/>
      <w:type w:val="nextPage"/>
      <w:pgSz w:w="11906" w:h="16838"/>
      <w:pgMar w:left="720" w:right="720" w:header="0" w:top="720" w:footer="777" w:bottom="1577"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right"/>
      <w:rPr/>
    </w:pPr>
    <w:r>
      <w:rPr/>
      <w:t>Dispensa de Licitação – Dispensa Eletrônica nº 70/2022 – 4° BAvEx</w:t>
    </w:r>
  </w:p>
  <w:p>
    <w:pPr>
      <w:pStyle w:val="Rodap"/>
      <w:jc w:val="right"/>
      <w:rPr/>
    </w:pPr>
    <w:r>
      <w:rPr/>
      <w:t xml:space="preserve">Página </w:t>
    </w:r>
    <w:r>
      <w:rPr/>
      <w:fldChar w:fldCharType="begin"/>
    </w:r>
    <w:r>
      <w:rPr/>
      <w:instrText> PAGE </w:instrText>
    </w:r>
    <w:r>
      <w:rPr/>
      <w:fldChar w:fldCharType="separate"/>
    </w:r>
    <w:r>
      <w:rPr/>
      <w:t>9</w:t>
    </w:r>
    <w:r>
      <w:rPr/>
      <w:fldChar w:fldCharType="end"/>
    </w:r>
    <w:r>
      <w:rPr/>
      <w:t xml:space="preserve"> de </w:t>
    </w:r>
    <w:r>
      <w:rPr/>
      <w:fldChar w:fldCharType="begin"/>
    </w:r>
    <w:r>
      <w:rPr/>
      <w:instrText> NUMPAGES </w:instrText>
    </w:r>
    <w:r>
      <w:rPr/>
      <w:fldChar w:fldCharType="separate"/>
    </w:r>
    <w:r>
      <w:rPr/>
      <w:t>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pt-BR" w:eastAsia="en-US" w:bidi="ar-SA"/>
      </w:rPr>
    </w:rPrDefault>
    <w:pPrDefault>
      <w:pPr/>
    </w:pPrDefault>
  </w:docDefaults>
  <w:style w:type="paragraph" w:styleId="Normal">
    <w:name w:val="Normal"/>
    <w:qFormat/>
    <w:pPr>
      <w:widowControl/>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qFormat/>
    <w:pPr>
      <w:keepNext w:val="true"/>
      <w:keepLines/>
      <w:spacing w:before="240" w:after="0"/>
      <w:outlineLvl w:val="0"/>
    </w:pPr>
    <w:rPr>
      <w:rFonts w:ascii="Calibri Light" w:hAnsi="Calibri Light" w:eastAsia="Calibri" w:cs="DejaVu Sans"/>
      <w:color w:val="2F5496"/>
      <w:sz w:val="32"/>
      <w:szCs w:val="32"/>
    </w:rPr>
  </w:style>
  <w:style w:type="character" w:styleId="DefaultParagraphFont">
    <w:name w:val="Default Paragraph Font"/>
    <w:qFormat/>
    <w:rPr/>
  </w:style>
  <w:style w:type="character" w:styleId="CitaoChar">
    <w:name w:val="Citação Char"/>
    <w:basedOn w:val="DefaultParagraphFont"/>
    <w:qFormat/>
    <w:rPr>
      <w:rFonts w:ascii="Arial" w:hAnsi="Arial" w:eastAsia="Calibri" w:cs="Tahoma"/>
      <w:i/>
      <w:iCs/>
      <w:color w:val="000000"/>
      <w:sz w:val="20"/>
      <w:szCs w:val="24"/>
      <w:highlight w:val="yellow"/>
    </w:rPr>
  </w:style>
  <w:style w:type="character" w:styleId="Nivel01Char">
    <w:name w:val="Nivel 01 Char"/>
    <w:basedOn w:val="Ttulo1Char"/>
    <w:qFormat/>
    <w:rPr>
      <w:rFonts w:ascii="Arial" w:hAnsi="Arial" w:eastAsia="Calibri" w:cs="Times New Roman"/>
      <w:b/>
      <w:bCs/>
      <w:color w:val="000000"/>
      <w:sz w:val="20"/>
      <w:szCs w:val="20"/>
      <w:lang w:eastAsia="pt-BR"/>
    </w:rPr>
  </w:style>
  <w:style w:type="character" w:styleId="Ttulo1Char">
    <w:name w:val="Título 1 Char"/>
    <w:basedOn w:val="DefaultParagraphFont"/>
    <w:qFormat/>
    <w:rPr>
      <w:rFonts w:ascii="Calibri Light" w:hAnsi="Calibri Light" w:eastAsia="Calibri" w:cs="DejaVu Sans"/>
      <w:color w:val="2F5496"/>
      <w:sz w:val="32"/>
      <w:szCs w:val="32"/>
      <w:lang w:eastAsia="pt-BR"/>
    </w:rPr>
  </w:style>
  <w:style w:type="character" w:styleId="Citao2Char">
    <w:name w:val="citação 2 Char"/>
    <w:basedOn w:val="CitaoChar"/>
    <w:qFormat/>
    <w:rPr>
      <w:rFonts w:ascii="Arial" w:hAnsi="Arial" w:eastAsia="Calibri" w:cs="Tahoma"/>
      <w:i/>
      <w:iCs/>
      <w:color w:val="000000"/>
      <w:sz w:val="20"/>
      <w:szCs w:val="20"/>
      <w:highlight w:val="yellow"/>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Arial" w:hAnsi="Arial" w:eastAsia="Times New Roman" w:cs="Tahoma"/>
      <w:sz w:val="20"/>
      <w:szCs w:val="20"/>
      <w:lang w:eastAsia="pt-BR"/>
    </w:rPr>
  </w:style>
  <w:style w:type="character" w:styleId="AssuntodocomentrioChar">
    <w:name w:val="Assunto do comentário Char"/>
    <w:basedOn w:val="TextodecomentrioChar"/>
    <w:qFormat/>
    <w:rPr>
      <w:rFonts w:ascii="Arial" w:hAnsi="Arial" w:eastAsia="Times New Roman" w:cs="Tahoma"/>
      <w:b/>
      <w:bCs/>
      <w:sz w:val="20"/>
      <w:szCs w:val="20"/>
      <w:lang w:eastAsia="pt-BR"/>
    </w:rPr>
  </w:style>
  <w:style w:type="character" w:styleId="LinkdaInternet">
    <w:name w:val="Link da Internet"/>
    <w:rPr>
      <w:color w:val="000080"/>
      <w:u w:val="single"/>
    </w:rPr>
  </w:style>
  <w:style w:type="character" w:styleId="Nivel4Char">
    <w:name w:val="Nivel 4 Char"/>
    <w:basedOn w:val="DefaultParagraphFont"/>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cs="Arial"/>
      <w:b/>
      <w:i w:val="false"/>
      <w:iCs/>
      <w:color w:val="auto"/>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Calibri"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cs="Arial"/>
      <w:b/>
      <w:i w:val="false"/>
      <w:iCs/>
      <w:color w:val="auto"/>
    </w:rPr>
  </w:style>
  <w:style w:type="character" w:styleId="ListLabel77">
    <w:name w:val="ListLabel 77"/>
    <w:qFormat/>
    <w:rPr>
      <w:b/>
    </w:rPr>
  </w:style>
  <w:style w:type="character" w:styleId="ListLabel78">
    <w:name w:val="ListLabel 78"/>
    <w:qFormat/>
    <w:rPr>
      <w:b w:val="false"/>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auto"/>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auto"/>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Smbolosdenumerao">
    <w:name w:val="Símbolos de numeração"/>
    <w:qFormat/>
    <w:rPr/>
  </w:style>
  <w:style w:type="character" w:styleId="ListLabel88">
    <w:name w:val="ListLabel 88"/>
    <w:qFormat/>
    <w:rPr>
      <w:b/>
    </w:rPr>
  </w:style>
  <w:style w:type="character" w:styleId="ListLabel89">
    <w:name w:val="ListLabel 89"/>
    <w:qFormat/>
    <w:rPr>
      <w:b w:val="false"/>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rFonts w:cs="Arial"/>
      <w:b w:val="false"/>
      <w:i w:val="false"/>
      <w:iCs/>
      <w:color w:val="auto"/>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b w:val="false"/>
      <w:i w:val="false"/>
      <w:iCs/>
      <w:color w:val="auto"/>
    </w:rPr>
  </w:style>
  <w:style w:type="character" w:styleId="ListLabel96">
    <w:name w:val="ListLabel 96"/>
    <w:qFormat/>
    <w:rPr>
      <w:rFonts w:eastAsia="Calibri" w:cs="Arial"/>
      <w:szCs w:val="20"/>
    </w:rPr>
  </w:style>
  <w:style w:type="character" w:styleId="ListLabel97">
    <w:name w:val="ListLabel 97"/>
    <w:qFormat/>
    <w:rPr>
      <w:rFonts w:eastAsia="Calibri" w:cs="Arial"/>
      <w:lang w:eastAsia="ar-SA"/>
    </w:rPr>
  </w:style>
  <w:style w:type="character" w:styleId="ListLabel98">
    <w:name w:val="ListLabel 98"/>
    <w:qFormat/>
    <w:rPr>
      <w:color w:val="000000"/>
    </w:rPr>
  </w:style>
  <w:style w:type="character" w:styleId="ListLabel99">
    <w:name w:val="ListLabel 99"/>
    <w:qFormat/>
    <w:rPr>
      <w:b/>
    </w:rPr>
  </w:style>
  <w:style w:type="character" w:styleId="ListLabel100">
    <w:name w:val="ListLabel 100"/>
    <w:qFormat/>
    <w:rPr>
      <w:b w:val="false"/>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rFonts w:cs="Arial"/>
      <w:b w:val="false"/>
      <w:i w:val="false"/>
      <w:iCs/>
      <w:color w:val="auto"/>
    </w:rPr>
  </w:style>
  <w:style w:type="character" w:styleId="ListLabel104">
    <w:name w:val="ListLabel 104"/>
    <w:qFormat/>
    <w:rPr>
      <w:b/>
    </w:rPr>
  </w:style>
  <w:style w:type="character" w:styleId="ListLabel105">
    <w:name w:val="ListLabel 105"/>
    <w:qFormat/>
    <w:rPr>
      <w:b w:val="false"/>
      <w:i w:val="false"/>
      <w:iCs/>
    </w:rPr>
  </w:style>
  <w:style w:type="character" w:styleId="ListLabel106">
    <w:name w:val="ListLabel 106"/>
    <w:qFormat/>
    <w:rPr>
      <w:b w:val="false"/>
      <w:i w:val="false"/>
      <w:iCs/>
      <w:color w:val="auto"/>
    </w:rPr>
  </w:style>
  <w:style w:type="character" w:styleId="ListLabel107">
    <w:name w:val="ListLabel 107"/>
    <w:qFormat/>
    <w:rPr>
      <w:rFonts w:eastAsia="Calibri" w:cs="Arial"/>
      <w:szCs w:val="20"/>
    </w:rPr>
  </w:style>
  <w:style w:type="character" w:styleId="ListLabel108">
    <w:name w:val="ListLabel 108"/>
    <w:qFormat/>
    <w:rPr>
      <w:rFonts w:eastAsia="Calibri" w:cs="Arial"/>
      <w:lang w:eastAsia="ar-SA"/>
    </w:rPr>
  </w:style>
  <w:style w:type="character" w:styleId="ListLabel109">
    <w:name w:val="ListLabel 109"/>
    <w:qFormat/>
    <w:rPr>
      <w:color w:val="000000"/>
    </w:rPr>
  </w:style>
  <w:style w:type="character" w:styleId="ListLabel110">
    <w:name w:val="ListLabel 110"/>
    <w:qFormat/>
    <w:rPr>
      <w:b/>
    </w:rPr>
  </w:style>
  <w:style w:type="character" w:styleId="ListLabel111">
    <w:name w:val="ListLabel 111"/>
    <w:qFormat/>
    <w:rPr>
      <w:b w:val="false"/>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rFonts w:cs="Arial"/>
      <w:b w:val="false"/>
      <w:i w:val="false"/>
      <w:iCs/>
      <w:color w:val="auto"/>
    </w:rPr>
  </w:style>
  <w:style w:type="character" w:styleId="ListLabel115">
    <w:name w:val="ListLabel 115"/>
    <w:qFormat/>
    <w:rPr>
      <w:b/>
    </w:rPr>
  </w:style>
  <w:style w:type="character" w:styleId="ListLabel116">
    <w:name w:val="ListLabel 116"/>
    <w:qFormat/>
    <w:rPr>
      <w:b w:val="false"/>
      <w:i w:val="false"/>
      <w:iCs/>
    </w:rPr>
  </w:style>
  <w:style w:type="character" w:styleId="ListLabel117">
    <w:name w:val="ListLabel 117"/>
    <w:qFormat/>
    <w:rPr>
      <w:b w:val="false"/>
      <w:i w:val="false"/>
      <w:iCs/>
      <w:color w:val="auto"/>
    </w:rPr>
  </w:style>
  <w:style w:type="character" w:styleId="ListLabel118">
    <w:name w:val="ListLabel 118"/>
    <w:qFormat/>
    <w:rPr>
      <w:rFonts w:eastAsia="Calibri" w:cs="Arial"/>
      <w:szCs w:val="20"/>
    </w:rPr>
  </w:style>
  <w:style w:type="character" w:styleId="ListLabel119">
    <w:name w:val="ListLabel 119"/>
    <w:qFormat/>
    <w:rPr>
      <w:rFonts w:eastAsia="Calibri" w:cs="Arial"/>
      <w:lang w:eastAsia="ar-SA"/>
    </w:rPr>
  </w:style>
  <w:style w:type="character" w:styleId="ListLabel120">
    <w:name w:val="ListLabel 120"/>
    <w:qFormat/>
    <w:rPr>
      <w:color w:val="000000"/>
    </w:rPr>
  </w:style>
  <w:style w:type="character" w:styleId="Textooriginal">
    <w:name w:val="Texto original"/>
    <w:qFormat/>
    <w:rPr>
      <w:rFonts w:ascii="Liberation Mono" w:hAnsi="Liberation Mono" w:eastAsia="Liberation Mono" w:cs="Liberation Mono"/>
    </w:rPr>
  </w:style>
  <w:style w:type="character" w:styleId="ListLabel121">
    <w:name w:val="ListLabel 121"/>
    <w:qFormat/>
    <w:rPr>
      <w:b/>
    </w:rPr>
  </w:style>
  <w:style w:type="character" w:styleId="ListLabel122">
    <w:name w:val="ListLabel 122"/>
    <w:qFormat/>
    <w:rPr>
      <w:b w:val="false"/>
    </w:rPr>
  </w:style>
  <w:style w:type="character" w:styleId="ListLabel123">
    <w:name w:val="ListLabel 123"/>
    <w:qFormat/>
    <w:rPr>
      <w:b/>
    </w:rPr>
  </w:style>
  <w:style w:type="character" w:styleId="ListLabel124">
    <w:name w:val="ListLabel 124"/>
    <w:qFormat/>
    <w:rPr>
      <w:b w:val="false"/>
      <w:i w:val="false"/>
      <w:iCs/>
    </w:rPr>
  </w:style>
  <w:style w:type="character" w:styleId="ListLabel125">
    <w:name w:val="ListLabel 125"/>
    <w:qFormat/>
    <w:rPr>
      <w:rFonts w:cs="Arial"/>
      <w:b w:val="false"/>
      <w:i w:val="false"/>
      <w:iCs/>
      <w:color w:val="auto"/>
    </w:rPr>
  </w:style>
  <w:style w:type="character" w:styleId="ListLabel126">
    <w:name w:val="ListLabel 126"/>
    <w:qFormat/>
    <w:rPr>
      <w:b/>
    </w:rPr>
  </w:style>
  <w:style w:type="character" w:styleId="ListLabel127">
    <w:name w:val="ListLabel 127"/>
    <w:qFormat/>
    <w:rPr>
      <w:b w:val="false"/>
      <w:i w:val="false"/>
      <w:iCs/>
    </w:rPr>
  </w:style>
  <w:style w:type="character" w:styleId="ListLabel128">
    <w:name w:val="ListLabel 128"/>
    <w:qFormat/>
    <w:rPr>
      <w:b w:val="false"/>
      <w:i w:val="false"/>
      <w:iCs/>
      <w:color w:val="auto"/>
    </w:rPr>
  </w:style>
  <w:style w:type="character" w:styleId="ListLabel129">
    <w:name w:val="ListLabel 129"/>
    <w:qFormat/>
    <w:rPr>
      <w:rFonts w:eastAsia="Calibri" w:cs="Arial"/>
      <w:szCs w:val="20"/>
    </w:rPr>
  </w:style>
  <w:style w:type="character" w:styleId="ListLabel130">
    <w:name w:val="ListLabel 130"/>
    <w:qFormat/>
    <w:rPr>
      <w:rFonts w:eastAsia="Calibri" w:cs="Arial"/>
      <w:lang w:eastAsia="ar-SA"/>
    </w:rPr>
  </w:style>
  <w:style w:type="character" w:styleId="ListLabel131">
    <w:name w:val="ListLabel 131"/>
    <w:qFormat/>
    <w:rPr>
      <w:color w:val="000000"/>
    </w:rPr>
  </w:style>
  <w:style w:type="character" w:styleId="ListLabel132">
    <w:name w:val="ListLabel 132"/>
    <w:qFormat/>
    <w:rPr>
      <w:b/>
    </w:rPr>
  </w:style>
  <w:style w:type="character" w:styleId="ListLabel133">
    <w:name w:val="ListLabel 133"/>
    <w:qFormat/>
    <w:rPr>
      <w:b w:val="false"/>
    </w:rPr>
  </w:style>
  <w:style w:type="character" w:styleId="ListLabel134">
    <w:name w:val="ListLabel 134"/>
    <w:qFormat/>
    <w:rPr>
      <w:b/>
    </w:rPr>
  </w:style>
  <w:style w:type="character" w:styleId="ListLabel135">
    <w:name w:val="ListLabel 135"/>
    <w:qFormat/>
    <w:rPr>
      <w:b w:val="false"/>
      <w:i w:val="false"/>
      <w:iCs/>
    </w:rPr>
  </w:style>
  <w:style w:type="character" w:styleId="ListLabel136">
    <w:name w:val="ListLabel 136"/>
    <w:qFormat/>
    <w:rPr>
      <w:rFonts w:cs="Arial"/>
      <w:b w:val="false"/>
      <w:i w:val="false"/>
      <w:iCs/>
      <w:color w:val="auto"/>
    </w:rPr>
  </w:style>
  <w:style w:type="character" w:styleId="ListLabel137">
    <w:name w:val="ListLabel 137"/>
    <w:qFormat/>
    <w:rPr>
      <w:b/>
    </w:rPr>
  </w:style>
  <w:style w:type="character" w:styleId="ListLabel138">
    <w:name w:val="ListLabel 138"/>
    <w:qFormat/>
    <w:rPr>
      <w:b w:val="false"/>
      <w:i w:val="false"/>
      <w:iCs/>
    </w:rPr>
  </w:style>
  <w:style w:type="character" w:styleId="ListLabel139">
    <w:name w:val="ListLabel 139"/>
    <w:qFormat/>
    <w:rPr>
      <w:b w:val="false"/>
      <w:i w:val="false"/>
      <w:iCs/>
      <w:color w:val="auto"/>
    </w:rPr>
  </w:style>
  <w:style w:type="character" w:styleId="ListLabel140">
    <w:name w:val="ListLabel 140"/>
    <w:qFormat/>
    <w:rPr>
      <w:rFonts w:eastAsia="Calibri" w:cs="Arial"/>
      <w:szCs w:val="20"/>
    </w:rPr>
  </w:style>
  <w:style w:type="character" w:styleId="ListLabel141">
    <w:name w:val="ListLabel 141"/>
    <w:qFormat/>
    <w:rPr>
      <w:rFonts w:eastAsia="Calibri" w:cs="Arial"/>
      <w:lang w:eastAsia="ar-SA"/>
    </w:rPr>
  </w:style>
  <w:style w:type="character" w:styleId="ListLabel142">
    <w:name w:val="ListLabel 142"/>
    <w:qFormat/>
    <w:rPr>
      <w:color w:val="000000"/>
    </w:rPr>
  </w:style>
  <w:style w:type="character" w:styleId="ListLabel143">
    <w:name w:val="ListLabel 143"/>
    <w:qFormat/>
    <w:rPr>
      <w:b/>
    </w:rPr>
  </w:style>
  <w:style w:type="character" w:styleId="ListLabel144">
    <w:name w:val="ListLabel 144"/>
    <w:qFormat/>
    <w:rPr>
      <w:b w:val="false"/>
    </w:rPr>
  </w:style>
  <w:style w:type="character" w:styleId="ListLabel145">
    <w:name w:val="ListLabel 145"/>
    <w:qFormat/>
    <w:rPr>
      <w:b/>
    </w:rPr>
  </w:style>
  <w:style w:type="character" w:styleId="ListLabel146">
    <w:name w:val="ListLabel 146"/>
    <w:qFormat/>
    <w:rPr>
      <w:b w:val="false"/>
      <w:i w:val="false"/>
      <w:iCs/>
    </w:rPr>
  </w:style>
  <w:style w:type="character" w:styleId="ListLabel147">
    <w:name w:val="ListLabel 147"/>
    <w:qFormat/>
    <w:rPr>
      <w:rFonts w:cs="Arial"/>
      <w:b w:val="false"/>
      <w:i w:val="false"/>
      <w:iCs/>
      <w:color w:val="auto"/>
    </w:rPr>
  </w:style>
  <w:style w:type="character" w:styleId="ListLabel148">
    <w:name w:val="ListLabel 148"/>
    <w:qFormat/>
    <w:rPr>
      <w:b/>
    </w:rPr>
  </w:style>
  <w:style w:type="character" w:styleId="ListLabel149">
    <w:name w:val="ListLabel 149"/>
    <w:qFormat/>
    <w:rPr>
      <w:b w:val="false"/>
      <w:i w:val="false"/>
      <w:iCs/>
    </w:rPr>
  </w:style>
  <w:style w:type="character" w:styleId="ListLabel150">
    <w:name w:val="ListLabel 150"/>
    <w:qFormat/>
    <w:rPr>
      <w:b w:val="false"/>
      <w:i w:val="false"/>
      <w:iCs/>
      <w:color w:val="auto"/>
    </w:rPr>
  </w:style>
  <w:style w:type="character" w:styleId="ListLabel151">
    <w:name w:val="ListLabel 151"/>
    <w:qFormat/>
    <w:rPr>
      <w:rFonts w:eastAsia="Calibri" w:cs="Arial"/>
      <w:szCs w:val="20"/>
    </w:rPr>
  </w:style>
  <w:style w:type="character" w:styleId="ListLabel152">
    <w:name w:val="ListLabel 152"/>
    <w:qFormat/>
    <w:rPr>
      <w:rFonts w:eastAsia="Calibri" w:cs="Arial"/>
      <w:lang w:eastAsia="ar-SA"/>
    </w:rPr>
  </w:style>
  <w:style w:type="character" w:styleId="ListLabel153">
    <w:name w:val="ListLabel 153"/>
    <w:qFormat/>
    <w:rPr>
      <w:color w:val="000000"/>
    </w:rPr>
  </w:style>
  <w:style w:type="character" w:styleId="ListLabel154">
    <w:name w:val="ListLabel 154"/>
    <w:qFormat/>
    <w:rPr>
      <w:b/>
    </w:rPr>
  </w:style>
  <w:style w:type="character" w:styleId="ListLabel155">
    <w:name w:val="ListLabel 155"/>
    <w:qFormat/>
    <w:rPr>
      <w:b w:val="false"/>
    </w:rPr>
  </w:style>
  <w:style w:type="character" w:styleId="ListLabel156">
    <w:name w:val="ListLabel 156"/>
    <w:qFormat/>
    <w:rPr>
      <w:b/>
    </w:rPr>
  </w:style>
  <w:style w:type="character" w:styleId="ListLabel157">
    <w:name w:val="ListLabel 157"/>
    <w:qFormat/>
    <w:rPr>
      <w:b w:val="false"/>
      <w:i w:val="false"/>
      <w:iCs/>
    </w:rPr>
  </w:style>
  <w:style w:type="character" w:styleId="ListLabel158">
    <w:name w:val="ListLabel 158"/>
    <w:qFormat/>
    <w:rPr>
      <w:rFonts w:cs="Arial"/>
      <w:b w:val="false"/>
      <w:i w:val="false"/>
      <w:iCs/>
      <w:color w:val="auto"/>
    </w:rPr>
  </w:style>
  <w:style w:type="character" w:styleId="ListLabel159">
    <w:name w:val="ListLabel 159"/>
    <w:qFormat/>
    <w:rPr>
      <w:b/>
    </w:rPr>
  </w:style>
  <w:style w:type="character" w:styleId="ListLabel160">
    <w:name w:val="ListLabel 160"/>
    <w:qFormat/>
    <w:rPr>
      <w:b w:val="false"/>
      <w:i w:val="false"/>
      <w:iCs/>
    </w:rPr>
  </w:style>
  <w:style w:type="character" w:styleId="ListLabel161">
    <w:name w:val="ListLabel 161"/>
    <w:qFormat/>
    <w:rPr>
      <w:b w:val="false"/>
      <w:i w:val="false"/>
      <w:iCs/>
      <w:color w:val="auto"/>
    </w:rPr>
  </w:style>
  <w:style w:type="character" w:styleId="ListLabel162">
    <w:name w:val="ListLabel 162"/>
    <w:qFormat/>
    <w:rPr>
      <w:rFonts w:eastAsia="Calibri" w:cs="Arial"/>
      <w:szCs w:val="20"/>
    </w:rPr>
  </w:style>
  <w:style w:type="character" w:styleId="ListLabel163">
    <w:name w:val="ListLabel 163"/>
    <w:qFormat/>
    <w:rPr>
      <w:rFonts w:eastAsia="Calibri" w:cs="Arial"/>
      <w:lang w:eastAsia="ar-SA"/>
    </w:rPr>
  </w:style>
  <w:style w:type="character" w:styleId="ListLabel164">
    <w:name w:val="ListLabel 164"/>
    <w:qFormat/>
    <w:rPr>
      <w:color w:val="000000"/>
    </w:rPr>
  </w:style>
  <w:style w:type="character" w:styleId="ListLabel165">
    <w:name w:val="ListLabel 165"/>
    <w:qFormat/>
    <w:rPr>
      <w:b/>
    </w:rPr>
  </w:style>
  <w:style w:type="character" w:styleId="ListLabel166">
    <w:name w:val="ListLabel 166"/>
    <w:qFormat/>
    <w:rPr>
      <w:b w:val="false"/>
    </w:rPr>
  </w:style>
  <w:style w:type="character" w:styleId="ListLabel167">
    <w:name w:val="ListLabel 167"/>
    <w:qFormat/>
    <w:rPr>
      <w:b/>
    </w:rPr>
  </w:style>
  <w:style w:type="character" w:styleId="ListLabel168">
    <w:name w:val="ListLabel 168"/>
    <w:qFormat/>
    <w:rPr>
      <w:b w:val="false"/>
      <w:i w:val="false"/>
      <w:iCs/>
    </w:rPr>
  </w:style>
  <w:style w:type="character" w:styleId="ListLabel169">
    <w:name w:val="ListLabel 169"/>
    <w:qFormat/>
    <w:rPr>
      <w:rFonts w:cs="Arial"/>
      <w:b w:val="false"/>
      <w:i w:val="false"/>
      <w:iCs/>
      <w:color w:val="auto"/>
    </w:rPr>
  </w:style>
  <w:style w:type="character" w:styleId="ListLabel170">
    <w:name w:val="ListLabel 170"/>
    <w:qFormat/>
    <w:rPr>
      <w:b/>
    </w:rPr>
  </w:style>
  <w:style w:type="character" w:styleId="ListLabel171">
    <w:name w:val="ListLabel 171"/>
    <w:qFormat/>
    <w:rPr>
      <w:b w:val="false"/>
      <w:i w:val="false"/>
      <w:iCs/>
    </w:rPr>
  </w:style>
  <w:style w:type="character" w:styleId="ListLabel172">
    <w:name w:val="ListLabel 172"/>
    <w:qFormat/>
    <w:rPr>
      <w:b w:val="false"/>
      <w:i w:val="false"/>
      <w:iCs/>
      <w:color w:val="auto"/>
    </w:rPr>
  </w:style>
  <w:style w:type="character" w:styleId="ListLabel173">
    <w:name w:val="ListLabel 173"/>
    <w:qFormat/>
    <w:rPr>
      <w:rFonts w:eastAsia="Calibri" w:cs="Arial"/>
      <w:szCs w:val="20"/>
    </w:rPr>
  </w:style>
  <w:style w:type="character" w:styleId="ListLabel174">
    <w:name w:val="ListLabel 174"/>
    <w:qFormat/>
    <w:rPr>
      <w:rFonts w:eastAsia="Calibri" w:cs="Arial"/>
      <w:lang w:eastAsia="ar-SA"/>
    </w:rPr>
  </w:style>
  <w:style w:type="character" w:styleId="ListLabel175">
    <w:name w:val="ListLabel 175"/>
    <w:qFormat/>
    <w:rPr>
      <w:color w:val="000000"/>
    </w:rPr>
  </w:style>
  <w:style w:type="character" w:styleId="ListLabel176">
    <w:name w:val="ListLabel 176"/>
    <w:qFormat/>
    <w:rPr>
      <w:b/>
    </w:rPr>
  </w:style>
  <w:style w:type="character" w:styleId="ListLabel177">
    <w:name w:val="ListLabel 177"/>
    <w:qFormat/>
    <w:rPr>
      <w:b w:val="false"/>
    </w:rPr>
  </w:style>
  <w:style w:type="character" w:styleId="ListLabel178">
    <w:name w:val="ListLabel 178"/>
    <w:qFormat/>
    <w:rPr>
      <w:b/>
    </w:rPr>
  </w:style>
  <w:style w:type="character" w:styleId="ListLabel179">
    <w:name w:val="ListLabel 179"/>
    <w:qFormat/>
    <w:rPr>
      <w:b w:val="false"/>
      <w:i w:val="false"/>
      <w:iCs/>
    </w:rPr>
  </w:style>
  <w:style w:type="character" w:styleId="ListLabel180">
    <w:name w:val="ListLabel 180"/>
    <w:qFormat/>
    <w:rPr>
      <w:rFonts w:cs="Arial"/>
      <w:b w:val="false"/>
      <w:i w:val="false"/>
      <w:iCs/>
      <w:color w:val="auto"/>
    </w:rPr>
  </w:style>
  <w:style w:type="character" w:styleId="ListLabel181">
    <w:name w:val="ListLabel 181"/>
    <w:qFormat/>
    <w:rPr>
      <w:b/>
    </w:rPr>
  </w:style>
  <w:style w:type="character" w:styleId="ListLabel182">
    <w:name w:val="ListLabel 182"/>
    <w:qFormat/>
    <w:rPr>
      <w:b w:val="false"/>
      <w:i w:val="false"/>
      <w:iCs/>
    </w:rPr>
  </w:style>
  <w:style w:type="character" w:styleId="ListLabel183">
    <w:name w:val="ListLabel 183"/>
    <w:qFormat/>
    <w:rPr>
      <w:b w:val="false"/>
      <w:i w:val="false"/>
      <w:iCs/>
      <w:color w:val="auto"/>
    </w:rPr>
  </w:style>
  <w:style w:type="character" w:styleId="ListLabel184">
    <w:name w:val="ListLabel 184"/>
    <w:qFormat/>
    <w:rPr>
      <w:rFonts w:eastAsia="Calibri" w:cs="Arial"/>
      <w:szCs w:val="20"/>
    </w:rPr>
  </w:style>
  <w:style w:type="character" w:styleId="ListLabel185">
    <w:name w:val="ListLabel 185"/>
    <w:qFormat/>
    <w:rPr>
      <w:rFonts w:eastAsia="Calibri" w:cs="Arial"/>
      <w:lang w:eastAsia="ar-SA"/>
    </w:rPr>
  </w:style>
  <w:style w:type="character" w:styleId="ListLabel186">
    <w:name w:val="ListLabel 186"/>
    <w:qFormat/>
    <w:rPr>
      <w:color w:val="000000"/>
    </w:rPr>
  </w:style>
  <w:style w:type="character" w:styleId="ListLabel187">
    <w:name w:val="ListLabel 187"/>
    <w:qFormat/>
    <w:rPr>
      <w:b/>
    </w:rPr>
  </w:style>
  <w:style w:type="character" w:styleId="ListLabel188">
    <w:name w:val="ListLabel 188"/>
    <w:qFormat/>
    <w:rPr>
      <w:b w:val="false"/>
    </w:rPr>
  </w:style>
  <w:style w:type="character" w:styleId="ListLabel189">
    <w:name w:val="ListLabel 189"/>
    <w:qFormat/>
    <w:rPr>
      <w:b/>
    </w:rPr>
  </w:style>
  <w:style w:type="character" w:styleId="ListLabel190">
    <w:name w:val="ListLabel 190"/>
    <w:qFormat/>
    <w:rPr>
      <w:b w:val="false"/>
      <w:i w:val="false"/>
      <w:iCs/>
    </w:rPr>
  </w:style>
  <w:style w:type="character" w:styleId="ListLabel191">
    <w:name w:val="ListLabel 191"/>
    <w:qFormat/>
    <w:rPr>
      <w:rFonts w:cs="Arial"/>
      <w:b w:val="false"/>
      <w:i w:val="false"/>
      <w:iCs/>
      <w:color w:val="auto"/>
    </w:rPr>
  </w:style>
  <w:style w:type="character" w:styleId="ListLabel192">
    <w:name w:val="ListLabel 192"/>
    <w:qFormat/>
    <w:rPr>
      <w:b/>
    </w:rPr>
  </w:style>
  <w:style w:type="character" w:styleId="ListLabel193">
    <w:name w:val="ListLabel 193"/>
    <w:qFormat/>
    <w:rPr>
      <w:b w:val="false"/>
      <w:i w:val="false"/>
      <w:iCs/>
    </w:rPr>
  </w:style>
  <w:style w:type="character" w:styleId="ListLabel194">
    <w:name w:val="ListLabel 194"/>
    <w:qFormat/>
    <w:rPr>
      <w:b w:val="false"/>
      <w:i w:val="false"/>
      <w:iCs/>
      <w:color w:val="auto"/>
    </w:rPr>
  </w:style>
  <w:style w:type="character" w:styleId="ListLabel195">
    <w:name w:val="ListLabel 195"/>
    <w:qFormat/>
    <w:rPr>
      <w:rFonts w:eastAsia="Calibri" w:cs="Arial"/>
      <w:szCs w:val="20"/>
    </w:rPr>
  </w:style>
  <w:style w:type="character" w:styleId="ListLabel196">
    <w:name w:val="ListLabel 196"/>
    <w:qFormat/>
    <w:rPr>
      <w:rFonts w:eastAsia="Calibri" w:cs="Arial"/>
      <w:lang w:eastAsia="ar-SA"/>
    </w:rPr>
  </w:style>
  <w:style w:type="character" w:styleId="ListLabel197">
    <w:name w:val="ListLabel 197"/>
    <w:qFormat/>
    <w:rPr>
      <w:color w:val="000000"/>
    </w:rPr>
  </w:style>
  <w:style w:type="character" w:styleId="ListLabel198">
    <w:name w:val="ListLabel 198"/>
    <w:qFormat/>
    <w:rPr>
      <w:b/>
    </w:rPr>
  </w:style>
  <w:style w:type="character" w:styleId="ListLabel199">
    <w:name w:val="ListLabel 199"/>
    <w:qFormat/>
    <w:rPr>
      <w:b w:val="false"/>
      <w:i w:val="false"/>
      <w:iCs/>
    </w:rPr>
  </w:style>
  <w:style w:type="character" w:styleId="ListLabel200">
    <w:name w:val="ListLabel 200"/>
    <w:qFormat/>
    <w:rPr>
      <w:rFonts w:cs="Arial"/>
      <w:b w:val="false"/>
      <w:i w:val="false"/>
      <w:iCs/>
      <w:color w:val="auto"/>
    </w:rPr>
  </w:style>
  <w:style w:type="character" w:styleId="ListLabel201">
    <w:name w:val="ListLabel 201"/>
    <w:qFormat/>
    <w:rPr>
      <w:b/>
    </w:rPr>
  </w:style>
  <w:style w:type="character" w:styleId="ListLabel202">
    <w:name w:val="ListLabel 202"/>
    <w:qFormat/>
    <w:rPr>
      <w:b w:val="false"/>
      <w:i w:val="false"/>
      <w:iCs/>
    </w:rPr>
  </w:style>
  <w:style w:type="character" w:styleId="ListLabel203">
    <w:name w:val="ListLabel 203"/>
    <w:qFormat/>
    <w:rPr>
      <w:b w:val="false"/>
      <w:i w:val="false"/>
      <w:iCs/>
      <w:color w:val="auto"/>
    </w:rPr>
  </w:style>
  <w:style w:type="character" w:styleId="ListLabel204">
    <w:name w:val="ListLabel 204"/>
    <w:qFormat/>
    <w:rPr>
      <w:rFonts w:eastAsia="Calibri" w:cs="Arial"/>
      <w:szCs w:val="20"/>
    </w:rPr>
  </w:style>
  <w:style w:type="character" w:styleId="ListLabel205">
    <w:name w:val="ListLabel 205"/>
    <w:qFormat/>
    <w:rPr>
      <w:rFonts w:eastAsia="Calibri" w:cs="Arial"/>
      <w:lang w:eastAsia="ar-SA"/>
    </w:rPr>
  </w:style>
  <w:style w:type="character" w:styleId="ListLabel206">
    <w:name w:val="ListLabel 206"/>
    <w:qFormat/>
    <w:rPr>
      <w:color w:val="000000"/>
    </w:rPr>
  </w:style>
  <w:style w:type="character" w:styleId="ListLabel207">
    <w:name w:val="ListLabel 207"/>
    <w:qFormat/>
    <w:rPr>
      <w:b/>
    </w:rPr>
  </w:style>
  <w:style w:type="character" w:styleId="ListLabel208">
    <w:name w:val="ListLabel 208"/>
    <w:qFormat/>
    <w:rPr>
      <w:b w:val="false"/>
      <w:i w:val="false"/>
      <w:iCs/>
    </w:rPr>
  </w:style>
  <w:style w:type="character" w:styleId="ListLabel209">
    <w:name w:val="ListLabel 209"/>
    <w:qFormat/>
    <w:rPr>
      <w:rFonts w:cs="Arial"/>
      <w:b w:val="false"/>
      <w:i w:val="false"/>
      <w:iCs/>
      <w:color w:val="auto"/>
    </w:rPr>
  </w:style>
  <w:style w:type="character" w:styleId="ListLabel210">
    <w:name w:val="ListLabel 210"/>
    <w:qFormat/>
    <w:rPr>
      <w:b/>
    </w:rPr>
  </w:style>
  <w:style w:type="character" w:styleId="ListLabel211">
    <w:name w:val="ListLabel 211"/>
    <w:qFormat/>
    <w:rPr>
      <w:b w:val="false"/>
      <w:i w:val="false"/>
      <w:iCs/>
    </w:rPr>
  </w:style>
  <w:style w:type="character" w:styleId="ListLabel212">
    <w:name w:val="ListLabel 212"/>
    <w:qFormat/>
    <w:rPr>
      <w:b w:val="false"/>
      <w:i w:val="false"/>
      <w:iCs/>
      <w:color w:val="auto"/>
    </w:rPr>
  </w:style>
  <w:style w:type="character" w:styleId="ListLabel213">
    <w:name w:val="ListLabel 213"/>
    <w:qFormat/>
    <w:rPr>
      <w:rFonts w:eastAsia="Calibri" w:cs="Arial"/>
      <w:szCs w:val="20"/>
    </w:rPr>
  </w:style>
  <w:style w:type="character" w:styleId="ListLabel214">
    <w:name w:val="ListLabel 214"/>
    <w:qFormat/>
    <w:rPr>
      <w:rFonts w:eastAsia="Calibri" w:cs="Arial"/>
      <w:lang w:eastAsia="ar-SA"/>
    </w:rPr>
  </w:style>
  <w:style w:type="character" w:styleId="ListLabel215">
    <w:name w:val="ListLabel 215"/>
    <w:qFormat/>
    <w:rPr>
      <w:color w:val="000000"/>
    </w:rPr>
  </w:style>
  <w:style w:type="character" w:styleId="ListLabel216">
    <w:name w:val="ListLabel 216"/>
    <w:qFormat/>
    <w:rPr>
      <w:b/>
    </w:rPr>
  </w:style>
  <w:style w:type="character" w:styleId="ListLabel217">
    <w:name w:val="ListLabel 217"/>
    <w:qFormat/>
    <w:rPr>
      <w:b w:val="false"/>
      <w:i w:val="false"/>
      <w:iCs/>
    </w:rPr>
  </w:style>
  <w:style w:type="character" w:styleId="ListLabel218">
    <w:name w:val="ListLabel 218"/>
    <w:qFormat/>
    <w:rPr>
      <w:rFonts w:cs="Arial"/>
      <w:b w:val="false"/>
      <w:i w:val="false"/>
      <w:iCs/>
      <w:color w:val="auto"/>
    </w:rPr>
  </w:style>
  <w:style w:type="character" w:styleId="ListLabel219">
    <w:name w:val="ListLabel 219"/>
    <w:qFormat/>
    <w:rPr>
      <w:b/>
    </w:rPr>
  </w:style>
  <w:style w:type="character" w:styleId="ListLabel220">
    <w:name w:val="ListLabel 220"/>
    <w:qFormat/>
    <w:rPr>
      <w:b w:val="false"/>
      <w:i w:val="false"/>
      <w:iCs/>
    </w:rPr>
  </w:style>
  <w:style w:type="character" w:styleId="ListLabel221">
    <w:name w:val="ListLabel 221"/>
    <w:qFormat/>
    <w:rPr>
      <w:b w:val="false"/>
      <w:i w:val="false"/>
      <w:iCs/>
      <w:color w:val="auto"/>
    </w:rPr>
  </w:style>
  <w:style w:type="character" w:styleId="ListLabel222">
    <w:name w:val="ListLabel 222"/>
    <w:qFormat/>
    <w:rPr>
      <w:rFonts w:eastAsia="Calibri" w:cs="Arial"/>
      <w:szCs w:val="20"/>
    </w:rPr>
  </w:style>
  <w:style w:type="character" w:styleId="ListLabel223">
    <w:name w:val="ListLabel 223"/>
    <w:qFormat/>
    <w:rPr>
      <w:rFonts w:eastAsia="Calibri" w:cs="Arial"/>
      <w:lang w:eastAsia="ar-SA"/>
    </w:rPr>
  </w:style>
  <w:style w:type="character" w:styleId="ListLabel224">
    <w:name w:val="ListLabel 224"/>
    <w:qFormat/>
    <w:rPr>
      <w:color w:val="000000"/>
    </w:rPr>
  </w:style>
  <w:style w:type="character" w:styleId="ListLabel225">
    <w:name w:val="ListLabel 225"/>
    <w:qFormat/>
    <w:rPr>
      <w:b/>
    </w:rPr>
  </w:style>
  <w:style w:type="character" w:styleId="ListLabel226">
    <w:name w:val="ListLabel 226"/>
    <w:qFormat/>
    <w:rPr>
      <w:b w:val="false"/>
      <w:i w:val="false"/>
      <w:iCs/>
    </w:rPr>
  </w:style>
  <w:style w:type="character" w:styleId="ListLabel227">
    <w:name w:val="ListLabel 227"/>
    <w:qFormat/>
    <w:rPr>
      <w:rFonts w:cs="Arial"/>
      <w:b w:val="false"/>
      <w:i w:val="false"/>
      <w:iCs/>
      <w:color w:val="auto"/>
    </w:rPr>
  </w:style>
  <w:style w:type="character" w:styleId="ListLabel228">
    <w:name w:val="ListLabel 228"/>
    <w:qFormat/>
    <w:rPr>
      <w:b/>
    </w:rPr>
  </w:style>
  <w:style w:type="character" w:styleId="ListLabel229">
    <w:name w:val="ListLabel 229"/>
    <w:qFormat/>
    <w:rPr>
      <w:b w:val="false"/>
      <w:i w:val="false"/>
      <w:iCs/>
    </w:rPr>
  </w:style>
  <w:style w:type="character" w:styleId="ListLabel230">
    <w:name w:val="ListLabel 230"/>
    <w:qFormat/>
    <w:rPr>
      <w:b w:val="false"/>
      <w:i w:val="false"/>
      <w:iCs/>
      <w:color w:val="auto"/>
    </w:rPr>
  </w:style>
  <w:style w:type="character" w:styleId="ListLabel231">
    <w:name w:val="ListLabel 231"/>
    <w:qFormat/>
    <w:rPr>
      <w:rFonts w:eastAsia="Calibri" w:cs="Arial"/>
      <w:szCs w:val="20"/>
    </w:rPr>
  </w:style>
  <w:style w:type="character" w:styleId="ListLabel232">
    <w:name w:val="ListLabel 232"/>
    <w:qFormat/>
    <w:rPr>
      <w:rFonts w:eastAsia="Calibri" w:cs="Arial"/>
      <w:lang w:eastAsia="ar-SA"/>
    </w:rPr>
  </w:style>
  <w:style w:type="character" w:styleId="ListLabel233">
    <w:name w:val="ListLabel 233"/>
    <w:qFormat/>
    <w:rPr>
      <w:color w:val="000000"/>
    </w:rPr>
  </w:style>
  <w:style w:type="character" w:styleId="ListLabel234">
    <w:name w:val="ListLabel 234"/>
    <w:qFormat/>
    <w:rPr>
      <w:b/>
    </w:rPr>
  </w:style>
  <w:style w:type="character" w:styleId="ListLabel235">
    <w:name w:val="ListLabel 235"/>
    <w:qFormat/>
    <w:rPr>
      <w:b w:val="false"/>
      <w:i w:val="false"/>
      <w:iCs/>
    </w:rPr>
  </w:style>
  <w:style w:type="character" w:styleId="ListLabel236">
    <w:name w:val="ListLabel 236"/>
    <w:qFormat/>
    <w:rPr>
      <w:rFonts w:cs="Arial"/>
      <w:b w:val="false"/>
      <w:i w:val="false"/>
      <w:iCs/>
      <w:color w:val="auto"/>
    </w:rPr>
  </w:style>
  <w:style w:type="character" w:styleId="ListLabel237">
    <w:name w:val="ListLabel 237"/>
    <w:qFormat/>
    <w:rPr>
      <w:b/>
    </w:rPr>
  </w:style>
  <w:style w:type="character" w:styleId="ListLabel238">
    <w:name w:val="ListLabel 238"/>
    <w:qFormat/>
    <w:rPr>
      <w:b w:val="false"/>
      <w:i w:val="false"/>
      <w:iCs/>
    </w:rPr>
  </w:style>
  <w:style w:type="character" w:styleId="ListLabel239">
    <w:name w:val="ListLabel 239"/>
    <w:qFormat/>
    <w:rPr>
      <w:b w:val="false"/>
      <w:i w:val="false"/>
      <w:iCs/>
      <w:color w:val="auto"/>
    </w:rPr>
  </w:style>
  <w:style w:type="character" w:styleId="ListLabel240">
    <w:name w:val="ListLabel 240"/>
    <w:qFormat/>
    <w:rPr>
      <w:rFonts w:eastAsia="Calibri" w:cs="Arial"/>
      <w:szCs w:val="20"/>
    </w:rPr>
  </w:style>
  <w:style w:type="character" w:styleId="ListLabel241">
    <w:name w:val="ListLabel 241"/>
    <w:qFormat/>
    <w:rPr>
      <w:rFonts w:eastAsia="Calibri" w:cs="Arial"/>
      <w:lang w:eastAsia="ar-SA"/>
    </w:rPr>
  </w:style>
  <w:style w:type="character" w:styleId="ListLabel242">
    <w:name w:val="ListLabel 242"/>
    <w:qFormat/>
    <w:rPr>
      <w:color w:val="000000"/>
    </w:rPr>
  </w:style>
  <w:style w:type="character" w:styleId="ListLabel243">
    <w:name w:val="ListLabel 243"/>
    <w:qFormat/>
    <w:rPr>
      <w:b/>
    </w:rPr>
  </w:style>
  <w:style w:type="character" w:styleId="ListLabel244">
    <w:name w:val="ListLabel 244"/>
    <w:qFormat/>
    <w:rPr>
      <w:b w:val="false"/>
      <w:i w:val="false"/>
      <w:iCs/>
    </w:rPr>
  </w:style>
  <w:style w:type="character" w:styleId="ListLabel245">
    <w:name w:val="ListLabel 245"/>
    <w:qFormat/>
    <w:rPr>
      <w:rFonts w:cs="Arial"/>
      <w:b w:val="false"/>
      <w:i w:val="false"/>
      <w:iCs/>
      <w:color w:val="auto"/>
    </w:rPr>
  </w:style>
  <w:style w:type="character" w:styleId="ListLabel246">
    <w:name w:val="ListLabel 246"/>
    <w:qFormat/>
    <w:rPr>
      <w:b/>
    </w:rPr>
  </w:style>
  <w:style w:type="character" w:styleId="ListLabel247">
    <w:name w:val="ListLabel 247"/>
    <w:qFormat/>
    <w:rPr>
      <w:b w:val="false"/>
      <w:i w:val="false"/>
      <w:iCs/>
    </w:rPr>
  </w:style>
  <w:style w:type="character" w:styleId="ListLabel248">
    <w:name w:val="ListLabel 248"/>
    <w:qFormat/>
    <w:rPr>
      <w:b w:val="false"/>
      <w:i w:val="false"/>
      <w:iCs/>
      <w:color w:val="auto"/>
    </w:rPr>
  </w:style>
  <w:style w:type="character" w:styleId="ListLabel249">
    <w:name w:val="ListLabel 249"/>
    <w:qFormat/>
    <w:rPr>
      <w:rFonts w:eastAsia="Calibri" w:cs="Arial"/>
      <w:szCs w:val="20"/>
    </w:rPr>
  </w:style>
  <w:style w:type="character" w:styleId="ListLabel250">
    <w:name w:val="ListLabel 250"/>
    <w:qFormat/>
    <w:rPr>
      <w:rFonts w:eastAsia="Calibri" w:cs="Arial"/>
      <w:lang w:eastAsia="ar-SA"/>
    </w:rPr>
  </w:style>
  <w:style w:type="character" w:styleId="ListLabel251">
    <w:name w:val="ListLabel 251"/>
    <w:qFormat/>
    <w:rPr>
      <w:color w:val="000000"/>
    </w:rPr>
  </w:style>
  <w:style w:type="character" w:styleId="ListLabel252">
    <w:name w:val="ListLabel 252"/>
    <w:qFormat/>
    <w:rPr>
      <w:b/>
    </w:rPr>
  </w:style>
  <w:style w:type="character" w:styleId="ListLabel253">
    <w:name w:val="ListLabel 253"/>
    <w:qFormat/>
    <w:rPr>
      <w:b w:val="false"/>
      <w:i w:val="false"/>
      <w:iCs/>
    </w:rPr>
  </w:style>
  <w:style w:type="character" w:styleId="ListLabel254">
    <w:name w:val="ListLabel 254"/>
    <w:qFormat/>
    <w:rPr>
      <w:rFonts w:cs="Arial"/>
      <w:b w:val="false"/>
      <w:i w:val="false"/>
      <w:iCs/>
      <w:color w:val="auto"/>
    </w:rPr>
  </w:style>
  <w:style w:type="character" w:styleId="ListLabel255">
    <w:name w:val="ListLabel 255"/>
    <w:qFormat/>
    <w:rPr>
      <w:b/>
    </w:rPr>
  </w:style>
  <w:style w:type="character" w:styleId="ListLabel256">
    <w:name w:val="ListLabel 256"/>
    <w:qFormat/>
    <w:rPr>
      <w:b w:val="false"/>
      <w:i w:val="false"/>
      <w:iCs/>
    </w:rPr>
  </w:style>
  <w:style w:type="character" w:styleId="ListLabel257">
    <w:name w:val="ListLabel 257"/>
    <w:qFormat/>
    <w:rPr>
      <w:b w:val="false"/>
      <w:i w:val="false"/>
      <w:iCs/>
      <w:color w:val="auto"/>
    </w:rPr>
  </w:style>
  <w:style w:type="character" w:styleId="ListLabel258">
    <w:name w:val="ListLabel 258"/>
    <w:qFormat/>
    <w:rPr>
      <w:rFonts w:eastAsia="Calibri" w:cs="Arial"/>
      <w:szCs w:val="20"/>
    </w:rPr>
  </w:style>
  <w:style w:type="character" w:styleId="ListLabel259">
    <w:name w:val="ListLabel 259"/>
    <w:qFormat/>
    <w:rPr>
      <w:rFonts w:eastAsia="Calibri" w:cs="Arial"/>
      <w:lang w:eastAsia="ar-SA"/>
    </w:rPr>
  </w:style>
  <w:style w:type="character" w:styleId="ListLabel260">
    <w:name w:val="ListLabel 260"/>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Marath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Marathi"/>
    </w:rPr>
  </w:style>
  <w:style w:type="paragraph" w:styleId="Legenda">
    <w:name w:val="Caption"/>
    <w:basedOn w:val="Normal"/>
    <w:qFormat/>
    <w:pPr>
      <w:suppressLineNumbers/>
      <w:spacing w:before="120" w:after="120"/>
    </w:pPr>
    <w:rPr>
      <w:rFonts w:cs="Lohit Marathi"/>
      <w:i/>
      <w:iCs/>
      <w:sz w:val="24"/>
      <w:szCs w:val="24"/>
    </w:rPr>
  </w:style>
  <w:style w:type="paragraph" w:styleId="Ndice">
    <w:name w:val="Índice"/>
    <w:basedOn w:val="Normal"/>
    <w:qFormat/>
    <w:pPr>
      <w:suppressLineNumbers/>
    </w:pPr>
    <w:rPr>
      <w:rFonts w:cs="Lohit Marathi"/>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Ttulo1"/>
    <w:next w:val="Normal"/>
    <w:qFormat/>
    <w:pPr>
      <w:spacing w:lineRule="auto" w:line="276" w:before="480" w:after="120"/>
      <w:ind w:left="0" w:right="-15" w:hanging="0"/>
      <w:jc w:val="both"/>
    </w:pPr>
    <w:rPr>
      <w:rFonts w:ascii="Arial" w:hAnsi="Arial" w:cs="Times New Roman"/>
      <w:b/>
      <w:bCs/>
      <w:color w:val="000000"/>
      <w:sz w:val="20"/>
      <w:szCs w:val="20"/>
    </w:rPr>
  </w:style>
  <w:style w:type="paragraph" w:styleId="PADRO">
    <w:name w:val="PADRÃO"/>
    <w:qFormat/>
    <w:pPr>
      <w:keepNext w:val="true"/>
      <w:widowControl w:val="false"/>
      <w:shd w:val="clear" w:fill="FFFFFF"/>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right="0" w:hanging="0"/>
      <w:contextualSpacing/>
    </w:pPr>
    <w:rPr/>
  </w:style>
  <w:style w:type="paragraph" w:styleId="Citao2">
    <w:name w:val="citação 2"/>
    <w:basedOn w:val="Quote"/>
    <w:qFormat/>
    <w:pPr>
      <w:shd w:val="clear" w:fill="FFFFCC"/>
    </w:pPr>
    <w:rPr>
      <w:szCs w:val="20"/>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name w:val="Nivel1"/>
    <w:basedOn w:val="Ttulo1"/>
    <w:qFormat/>
    <w:pPr>
      <w:spacing w:lineRule="auto" w:line="276" w:before="480" w:after="0"/>
      <w:ind w:left="644" w:right="0" w:hanging="360"/>
      <w:jc w:val="both"/>
    </w:pPr>
    <w:rPr>
      <w:rFonts w:ascii="Arial" w:hAnsi="Arial" w:cs="Times New Roman"/>
      <w:b/>
      <w:color w:val="000000"/>
      <w:sz w:val="20"/>
      <w:szCs w:val="20"/>
    </w:rPr>
  </w:style>
  <w:style w:type="paragraph" w:styleId="Nivel2">
    <w:name w:val="Nivel 2"/>
    <w:qFormat/>
    <w:pPr>
      <w:widowControl/>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tabs>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
    <w:name w:val="Header"/>
    <w:basedOn w:val="Normal"/>
    <w:pPr>
      <w:tabs>
        <w:tab w:val="center" w:pos="4252" w:leader="none"/>
        <w:tab w:val="right" w:pos="8504" w:leader="none"/>
      </w:tabs>
    </w:pPr>
    <w:rPr/>
  </w:style>
  <w:style w:type="paragraph" w:styleId="Rodap">
    <w:name w:val="Footer"/>
    <w:basedOn w:val="Normal"/>
    <w:pPr>
      <w:tabs>
        <w:tab w:val="center" w:pos="4252" w:leader="none"/>
        <w:tab w:val="right" w:pos="8504" w:leader="none"/>
      </w:tabs>
    </w:pPr>
    <w:rPr/>
  </w:style>
  <w:style w:type="paragraph" w:styleId="Standard">
    <w:name w:val="Standard"/>
    <w:qFormat/>
    <w:pPr>
      <w:widowControl/>
      <w:suppressAutoHyphens w:val="true"/>
      <w:overflowPunct w:val="false"/>
      <w:bidi w:val="0"/>
      <w:jc w:val="left"/>
      <w:textAlignment w:val="baseline"/>
    </w:pPr>
    <w:rPr>
      <w:rFonts w:ascii="Calibri" w:hAnsi="Calibri" w:eastAsia="Calibri" w:cs="DejaVu Sans"/>
      <w:color w:val="auto"/>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936</TotalTime>
  <Application>LibreOffice/6.0.7.3$Linux_X86_64 LibreOffice_project/00m0$Build-3</Application>
  <Pages>9</Pages>
  <Words>4376</Words>
  <Characters>25139</Characters>
  <CharactersWithSpaces>29206</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2022-06-21T13:10:15Z</cp:lastPrinted>
  <dcterms:modified xsi:type="dcterms:W3CDTF">2022-06-23T09:59:52Z</dcterms:modified>
  <cp:revision>121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